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42" w:rsidRDefault="00403642" w:rsidP="004036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77081" w:rsidRDefault="00477081" w:rsidP="004036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77081" w:rsidRPr="00477081" w:rsidRDefault="00477081" w:rsidP="00477081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математике 10-11 классы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Базисный учебный (образовательный) план на изучение математики в 10-11 классах основной школы отводит 5 часов в неделю в течение каждого года обучения, всего 340 уроков.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10 класс – 170 часов</w:t>
      </w:r>
    </w:p>
    <w:p w:rsidR="00477081" w:rsidRPr="00477081" w:rsidRDefault="00477081" w:rsidP="00477081">
      <w:pPr>
        <w:tabs>
          <w:tab w:val="left" w:pos="30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11 класс – 170 часов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77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нормативные документы: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среднего (полного) общего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по математике, </w:t>
      </w:r>
      <w:proofErr w:type="gram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Минобразования РФ от 05.03.2004, № 312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2. Примерная программа среднего (полного) общего образования по математике среднего (полного) общего образования.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Образовательная программа МКОУ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Новоберезовской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СОШ 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содержания предмета и достижение обучающимися результатов,  установленных  Федеральным государственным образовательным стандартом.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ОБЩАЯ ХАРАКТЕРИСТИКА УЧЕБНОГО ПРЕДМЕТА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0"/>
          <w:szCs w:val="20"/>
          <w:lang w:eastAsia="ru-RU"/>
        </w:rPr>
      </w:pPr>
      <w:r w:rsidRPr="004770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содержательные линии: </w:t>
      </w:r>
      <w:r w:rsidRPr="00477081">
        <w:rPr>
          <w:rFonts w:ascii="Times New Roman,Bold" w:eastAsia="Calibri" w:hAnsi="Times New Roman,Bold" w:cs="Times New Roman,Bold"/>
          <w:b/>
          <w:bCs/>
          <w:sz w:val="20"/>
          <w:szCs w:val="20"/>
          <w:lang w:eastAsia="ru-RU"/>
        </w:rPr>
        <w:t>«Алгебра», «Функции», «Уравнения и неравенства», «Геометрия»,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</w:pPr>
      <w:r w:rsidRPr="00477081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«</w:t>
      </w:r>
      <w:r w:rsidRPr="00477081">
        <w:rPr>
          <w:rFonts w:ascii="Times New Roman,Bold" w:eastAsia="Calibri" w:hAnsi="Times New Roman,Bold" w:cs="Times New Roman,Bold"/>
          <w:b/>
          <w:bCs/>
          <w:sz w:val="20"/>
          <w:szCs w:val="20"/>
          <w:lang w:eastAsia="ru-RU"/>
        </w:rPr>
        <w:t xml:space="preserve">Элементы комбинаторики, теории вероятностей, статистики и логики», </w:t>
      </w:r>
      <w:r w:rsidRPr="004770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вводится линия </w:t>
      </w:r>
      <w:r w:rsidRPr="00477081">
        <w:rPr>
          <w:rFonts w:ascii="Times New Roman,Bold" w:eastAsia="Calibri" w:hAnsi="Times New Roman,Bold" w:cs="Times New Roman,Bold"/>
          <w:b/>
          <w:bCs/>
          <w:sz w:val="20"/>
          <w:szCs w:val="20"/>
          <w:lang w:eastAsia="ru-RU"/>
        </w:rPr>
        <w:t>«Начала математического анализа».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ОПИСАНИЕ </w:t>
      </w:r>
      <w:proofErr w:type="gramStart"/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УЧЕБНО-МЕТОДИЧЕСКОГО</w:t>
      </w:r>
      <w:proofErr w:type="gramEnd"/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 И МАТЕРИАЛЬНО-ТЕХНИЧЕСКОГО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ОБЕСПЕЧЕНИЯ ОБРАЗОВАТЕЛЬНОГО ПРОЦЕССА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77081">
        <w:rPr>
          <w:rFonts w:ascii="Times New Roman,Bold" w:eastAsia="Calibri" w:hAnsi="Times New Roman,Bold" w:cs="Times New Roman,Bold"/>
          <w:b/>
          <w:bCs/>
          <w:sz w:val="20"/>
          <w:szCs w:val="24"/>
          <w:lang w:eastAsia="ru-RU"/>
        </w:rPr>
        <w:t>Используемый УМК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Учебники А.Г. Мордковича, П.В. Семенова. Математика: алгебра и начала мате6матического анализа, геометрия. Алгебра и начала математического анализа. 10-11 классы в 2 частях. Учебник Л. С.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Геометрия 10-11.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Дидактические и методические материалы, входящие в состав УМК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77081">
        <w:rPr>
          <w:rFonts w:ascii="Times New Roman,Bold" w:eastAsia="Calibri" w:hAnsi="Times New Roman,Bold" w:cs="Times New Roman,Bold"/>
          <w:b/>
          <w:bCs/>
          <w:sz w:val="20"/>
          <w:szCs w:val="24"/>
          <w:lang w:eastAsia="ru-RU"/>
        </w:rPr>
        <w:t>Библиотечный фонд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документы, авторские программы по курсам математики. Учебные пособия: рабочие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тетради, дидактические материалы, сборники контрольных работ. Пособия для подготовки к ЕГЭ.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пособия по элективным курсам и внеурочной деятельности. Научная, научно-популярная, историческая литература. Справочные пособия. Методические пособия для учителя.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Печатные пособия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Таблицы по математике. 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Информационные средства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Мультимедийные обучающие программы и электронные учебные издания по основным разделам математики. Электронная база данных для создания тематических и итоговых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тренировочных и проверочных материалов для организации фронтальной и индивидуальной работы.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Инструментальная среда по математике.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Технические средства обучения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Мультимедийный компьютер. Мультимедиа проектор. Экран.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Учебно-практическое и учебно-лабораторное оборудование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чертежных инструментов (классных).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ИСПОЛЬЗУЕМЫЕ ТЕХНОЛОГИИ И ИХ ЭЛЕМЕНТЫ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Педагогическими подходами, используемыми для достижения обозначенных целей, являются системно-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Методы обучения выбираются, исходя из задачи активизации учебной деятельности </w:t>
      </w:r>
      <w:proofErr w:type="gram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Основным методом является </w:t>
      </w:r>
      <w:proofErr w:type="gram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Наиболее часто используемыми формами организации познавательной деятельности </w:t>
      </w:r>
      <w:proofErr w:type="gram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выступают парная, индивидуальная и групповая.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коллективные способы обучения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личностно — ориентированного образования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знаково-контекстного обучения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технологии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методы обучения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проблемное обучение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ИКТ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интегрированное обучение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опережающего обучения с использованием опорных схем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</w:t>
      </w:r>
      <w:r w:rsidRPr="00477081">
        <w:rPr>
          <w:rFonts w:ascii="Wingdings" w:eastAsia="Calibri" w:hAnsi="Wingdings" w:cs="Wingdings"/>
          <w:sz w:val="24"/>
          <w:szCs w:val="24"/>
          <w:lang w:eastAsia="ru-RU"/>
        </w:rPr>
        <w:t></w:t>
      </w: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метод проектов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РЕЗУЛЬТАТЫ ОСВОЕНИЯ УЧЕБНОГО ПРЕДМЕТА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математики в 10-11 классах позволяет достичь следующих результатов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Cs w:val="24"/>
          <w:lang w:eastAsia="ru-RU"/>
        </w:rPr>
      </w:pPr>
      <w:r w:rsidRPr="00477081">
        <w:rPr>
          <w:rFonts w:ascii="Times New Roman,BoldItalic" w:eastAsia="Calibri" w:hAnsi="Times New Roman,BoldItalic" w:cs="Times New Roman,BoldItalic"/>
          <w:b/>
          <w:bCs/>
          <w:iCs/>
          <w:szCs w:val="24"/>
          <w:lang w:eastAsia="ru-RU"/>
        </w:rPr>
        <w:t>в предметном направлении</w:t>
      </w:r>
      <w:r w:rsidRPr="00477081">
        <w:rPr>
          <w:rFonts w:ascii="Times New Roman,BoldItalic" w:eastAsia="Calibri" w:hAnsi="Times New Roman,BoldItalic" w:cs="Times New Roman,BoldItalic"/>
          <w:b/>
          <w:bCs/>
          <w:i/>
          <w:iCs/>
          <w:szCs w:val="24"/>
          <w:lang w:eastAsia="ru-RU"/>
        </w:rPr>
        <w:t>: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математики в современной цивилизации, о способах описания на математическом языке явлений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реального мира;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математических понятиях, 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8) владение навыками использования готовых компьютерных программ при решении задач.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МЕТОДЫ И ФОРМЫ ОЦЕНИВАНИЯ РЕЗУЛЬТАТОВ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мониторинга.</w:t>
      </w:r>
    </w:p>
    <w:p w:rsidR="00477081" w:rsidRPr="00477081" w:rsidRDefault="00477081" w:rsidP="00477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081">
        <w:rPr>
          <w:rFonts w:ascii="Times New Roman" w:eastAsia="Calibri" w:hAnsi="Times New Roman" w:cs="Times New Roman"/>
          <w:sz w:val="24"/>
          <w:szCs w:val="24"/>
          <w:lang w:eastAsia="ru-RU"/>
        </w:rPr>
        <w:t>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опросы, тестовые работы. Итоговая аттестация по математике в 11 классе проводится в виде Единого государственного экзамена; в 10 классе – в виде Промежуточной аттестации.__</w:t>
      </w:r>
    </w:p>
    <w:p w:rsidR="00477081" w:rsidRPr="00403642" w:rsidRDefault="00477081" w:rsidP="004036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23495" w:rsidRDefault="00223495" w:rsidP="0088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223495" w:rsidRDefault="00223495" w:rsidP="0088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3495" w:rsidRDefault="00223495" w:rsidP="0088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3495" w:rsidRDefault="00223495" w:rsidP="0088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3495" w:rsidRDefault="00223495" w:rsidP="0088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3495" w:rsidRDefault="00223495" w:rsidP="0088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6992" w:rsidRDefault="004F6992" w:rsidP="004F6992">
      <w:pPr>
        <w:rPr>
          <w:rFonts w:ascii="Times New Roman" w:eastAsia="Calibri" w:hAnsi="Times New Roman" w:cs="Times New Roman"/>
          <w:sz w:val="28"/>
          <w:szCs w:val="28"/>
        </w:rPr>
      </w:pPr>
    </w:p>
    <w:p w:rsidR="00884341" w:rsidRDefault="00884341" w:rsidP="004F6992">
      <w:pPr>
        <w:rPr>
          <w:rFonts w:ascii="Times New Roman" w:eastAsia="Calibri" w:hAnsi="Times New Roman" w:cs="Times New Roman"/>
          <w:sz w:val="28"/>
          <w:szCs w:val="28"/>
        </w:rPr>
      </w:pPr>
    </w:p>
    <w:p w:rsidR="00884341" w:rsidRDefault="00884341" w:rsidP="004F6992">
      <w:pPr>
        <w:rPr>
          <w:rFonts w:ascii="Times New Roman" w:eastAsia="Calibri" w:hAnsi="Times New Roman" w:cs="Times New Roman"/>
          <w:sz w:val="28"/>
          <w:szCs w:val="28"/>
        </w:rPr>
      </w:pPr>
    </w:p>
    <w:p w:rsidR="00884341" w:rsidRDefault="00884341" w:rsidP="004F6992">
      <w:pPr>
        <w:rPr>
          <w:rFonts w:ascii="Times New Roman" w:eastAsia="Calibri" w:hAnsi="Times New Roman" w:cs="Times New Roman"/>
          <w:sz w:val="28"/>
          <w:szCs w:val="28"/>
        </w:rPr>
      </w:pPr>
    </w:p>
    <w:p w:rsidR="00884341" w:rsidRPr="004F6992" w:rsidRDefault="00884341" w:rsidP="004F6992">
      <w:pPr>
        <w:rPr>
          <w:rFonts w:ascii="Times New Roman" w:eastAsia="Calibri" w:hAnsi="Times New Roman" w:cs="Times New Roman"/>
          <w:sz w:val="28"/>
          <w:szCs w:val="28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E67D7" w:rsidRPr="00EE67D7" w:rsidRDefault="00EE67D7" w:rsidP="00EE67D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по физике 11 класса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Программа по физике составлена на основе федерального компонента государственного стандарта среднего (полного) общего образования №1089 от 05.03.2004 года,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r w:rsidRPr="00EE67D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 Я. Мякишева</w:t>
      </w: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учреждений. Физика. 10-11 классы – М.: Просвещение, 2010, Федерального Базисного учебного плана, учебного плана ОУ.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Авторская программа изучения физики в 11 классе рассчитана на 70 часов (2 часа в неделю).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УМК </w:t>
      </w:r>
      <w:proofErr w:type="gramStart"/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 завершающей ступени обучения образовательной школы.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67D7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Главной целью обучения физике в 11 классе</w:t>
      </w:r>
      <w:r w:rsidRPr="00EE67D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является развитие учащегося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В задачи обучения </w:t>
      </w: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физике входят: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Основное содержание авторской программы полностью нашло отражение в данной рабочей программе.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Изменения, внесенные в учебную программу и их обоснование.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Изменений нет.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учебный курс физики 11 класса включено 15 разделов: «Магнитное поле», «Электромагнитная индукция», «Механические колебания», «Электромагнитные колебания», «Производство, передача и потребление электроэнергии», «Механические волны», «Электромагнитные волны», «Световые волны», «Элементы теории относительности», «Излучение и спектры», «Световые кванты», «Атомная физика», «Физика атомного ядра и элементарных частиц», «Значение физики для понимания мира и развития производительных сил общества», «Строение и эволюция Вселенной».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трудоёмкость учебного процесса.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Количество часов в год- 70, количество часов в неделю- 2. Контрольных работ- 8, лабораторных работ – 4.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Изменения, внесенные в учебную программу и их обоснование. </w:t>
      </w:r>
    </w:p>
    <w:p w:rsidR="00EE67D7" w:rsidRPr="00EE67D7" w:rsidRDefault="00EE67D7" w:rsidP="00EE6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67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Изменений нет.</w:t>
      </w:r>
    </w:p>
    <w:p w:rsidR="00EE67D7" w:rsidRPr="00EE67D7" w:rsidRDefault="00EE67D7" w:rsidP="00EE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Pr="000A47E6" w:rsidRDefault="00A1249A" w:rsidP="000A47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1249A" w:rsidRPr="00A1249A" w:rsidRDefault="00A1249A" w:rsidP="00A124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</w:t>
      </w:r>
      <w:r w:rsidRPr="00A1249A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1249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рабочей программе по физике 10 класса </w:t>
      </w:r>
    </w:p>
    <w:p w:rsidR="00A1249A" w:rsidRPr="00A1249A" w:rsidRDefault="00A1249A" w:rsidP="00A1249A">
      <w:pPr>
        <w:keepNext/>
        <w:keepLines/>
        <w:spacing w:before="200" w:after="0" w:line="240" w:lineRule="auto"/>
        <w:ind w:firstLine="66"/>
        <w:outlineLvl w:val="8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1249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Pr="00A1249A">
        <w:rPr>
          <w:rFonts w:asciiTheme="majorHAnsi" w:eastAsiaTheme="majorEastAsia" w:hAnsiTheme="majorHAnsi" w:cstheme="majorBidi"/>
          <w:iCs/>
          <w:sz w:val="24"/>
          <w:szCs w:val="24"/>
          <w:lang w:eastAsia="ru-RU"/>
        </w:rPr>
        <w:t>Программа по физике составлена на основе федерального компонента государственного стандарта среднего (полного) общего образования</w:t>
      </w:r>
      <w:r w:rsidRPr="00A1249A">
        <w:rPr>
          <w:rFonts w:asciiTheme="majorHAnsi" w:eastAsiaTheme="majorEastAsia" w:hAnsiTheme="majorHAnsi" w:cstheme="majorBidi"/>
          <w:i/>
          <w:iCs/>
          <w:sz w:val="24"/>
          <w:szCs w:val="24"/>
          <w:lang w:eastAsia="ru-RU"/>
        </w:rPr>
        <w:t xml:space="preserve"> №</w:t>
      </w:r>
      <w:r w:rsidRPr="00A1249A">
        <w:rPr>
          <w:rFonts w:asciiTheme="majorHAnsi" w:eastAsiaTheme="majorEastAsia" w:hAnsiTheme="majorHAnsi" w:cstheme="majorBidi"/>
          <w:iCs/>
          <w:sz w:val="24"/>
          <w:szCs w:val="24"/>
          <w:lang w:eastAsia="ru-RU"/>
        </w:rPr>
        <w:t>1089 от 05.03.2004 года</w:t>
      </w:r>
      <w:r w:rsidRPr="00A1249A">
        <w:rPr>
          <w:rFonts w:asciiTheme="majorHAnsi" w:eastAsiaTheme="majorEastAsia" w:hAnsiTheme="majorHAnsi" w:cstheme="majorBidi"/>
          <w:b/>
          <w:i/>
          <w:iCs/>
          <w:sz w:val="24"/>
          <w:szCs w:val="24"/>
          <w:lang w:eastAsia="ru-RU"/>
        </w:rPr>
        <w:t>,</w:t>
      </w:r>
      <w:r w:rsidRPr="00A1249A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A1249A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Рабочая программа по физике разработана для 10-11 классов на основе программы   Г. Я. Мякишева. </w:t>
      </w:r>
      <w:r w:rsidRPr="00A1249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образования:</w:t>
      </w:r>
      <w:r w:rsidRPr="00A1249A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механика, молеку</w:t>
      </w:r>
      <w:r w:rsidRPr="00A1249A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softHyphen/>
        <w:t xml:space="preserve">лярная физика и термодинамика, электродинамика.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Авторская программа изучения физики в 10 классе рассчитана на 70 часов (2 часа в неделю).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УМК предназначен для завершающей ступени обучения образовательной школы и предусматривает использование учебников авторов Мякишева Г.Я., </w:t>
      </w:r>
      <w:proofErr w:type="spellStart"/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Буховцева</w:t>
      </w:r>
      <w:proofErr w:type="spellEnd"/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Б.Б., Сотского Н.Н. Физика. 10 класс.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Главной целью обучения </w:t>
      </w: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физике в 10 классе является развитие учащегося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обучения </w:t>
      </w: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физике входят: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учебного предмета.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учебный курс физики 10 класса включено 10 разделов: «Введение», «Кинематика», «Динамика и силы в природе», «Законы сохранения в механике. Статика», «Основы молекулярной физики», «Взаимные превращения жидкостей и газов. Твердые тела», «Термодинамика», «Электростатика», «Постоянный электрический ток», «Электрический ток в различных средах».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трудоёмкость учебного процесса. </w:t>
      </w:r>
    </w:p>
    <w:p w:rsidR="00A1249A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Количество часов в год- 70, количество часов в неделю- 2. Контрольных работ- 8, лабораторных работ – 5. </w:t>
      </w:r>
    </w:p>
    <w:p w:rsidR="00DC6E4C" w:rsidRPr="00A1249A" w:rsidRDefault="00A1249A" w:rsidP="00A1249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49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Изменения, внесенные в учебную программу и их обоснование. Отсутствуют.</w:t>
      </w:r>
    </w:p>
    <w:sectPr w:rsidR="00DC6E4C" w:rsidRPr="00A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9A" w:rsidRDefault="00A1249A" w:rsidP="00A1249A">
      <w:pPr>
        <w:spacing w:after="0" w:line="240" w:lineRule="auto"/>
      </w:pPr>
      <w:r>
        <w:separator/>
      </w:r>
    </w:p>
  </w:endnote>
  <w:endnote w:type="continuationSeparator" w:id="0">
    <w:p w:rsidR="00A1249A" w:rsidRDefault="00A1249A" w:rsidP="00A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9A" w:rsidRDefault="00A1249A" w:rsidP="00A1249A">
      <w:pPr>
        <w:spacing w:after="0" w:line="240" w:lineRule="auto"/>
      </w:pPr>
      <w:r>
        <w:separator/>
      </w:r>
    </w:p>
  </w:footnote>
  <w:footnote w:type="continuationSeparator" w:id="0">
    <w:p w:rsidR="00A1249A" w:rsidRDefault="00A1249A" w:rsidP="00A1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77B"/>
    <w:multiLevelType w:val="multilevel"/>
    <w:tmpl w:val="508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570C3"/>
    <w:multiLevelType w:val="multilevel"/>
    <w:tmpl w:val="629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E00A5"/>
    <w:multiLevelType w:val="multilevel"/>
    <w:tmpl w:val="DD7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660E5"/>
    <w:multiLevelType w:val="multilevel"/>
    <w:tmpl w:val="FB7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F"/>
    <w:rsid w:val="000A47E6"/>
    <w:rsid w:val="001B7FCB"/>
    <w:rsid w:val="00223495"/>
    <w:rsid w:val="00403642"/>
    <w:rsid w:val="00477081"/>
    <w:rsid w:val="004F6992"/>
    <w:rsid w:val="0050446B"/>
    <w:rsid w:val="0087582F"/>
    <w:rsid w:val="00884341"/>
    <w:rsid w:val="009B11BA"/>
    <w:rsid w:val="00A1249A"/>
    <w:rsid w:val="00B25DE8"/>
    <w:rsid w:val="00DC6E4C"/>
    <w:rsid w:val="00E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9A"/>
  </w:style>
  <w:style w:type="paragraph" w:styleId="a5">
    <w:name w:val="footer"/>
    <w:basedOn w:val="a"/>
    <w:link w:val="a6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49A"/>
  </w:style>
  <w:style w:type="paragraph" w:styleId="a5">
    <w:name w:val="footer"/>
    <w:basedOn w:val="a"/>
    <w:link w:val="a6"/>
    <w:uiPriority w:val="99"/>
    <w:unhideWhenUsed/>
    <w:rsid w:val="00A1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2018-03-05T16:33:00Z</dcterms:created>
  <dcterms:modified xsi:type="dcterms:W3CDTF">2018-03-05T17:27:00Z</dcterms:modified>
</cp:coreProperties>
</file>